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D76AC">
      <w:pPr>
        <w:pStyle w:val="4"/>
        <w:widowControl/>
        <w:spacing w:line="360" w:lineRule="auto"/>
        <w:ind w:firstLine="643" w:firstLineChars="200"/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lang w:eastAsia="zh-Hans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lang w:bidi="ar"/>
        </w:rPr>
        <w:t>附件一：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lang w:eastAsia="zh-Hans" w:bidi="ar"/>
        </w:rPr>
        <w:t>课程大纲</w:t>
      </w:r>
    </w:p>
    <w:tbl>
      <w:tblPr>
        <w:tblStyle w:val="5"/>
        <w:tblpPr w:leftFromText="180" w:rightFromText="180" w:vertAnchor="text" w:horzAnchor="page" w:tblpXSpec="center" w:tblpY="407"/>
        <w:tblOverlap w:val="never"/>
        <w:tblW w:w="1021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8"/>
        <w:gridCol w:w="2400"/>
        <w:gridCol w:w="5598"/>
      </w:tblGrid>
      <w:tr w14:paraId="19DD6F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216" w:type="dxa"/>
            <w:gridSpan w:val="3"/>
            <w:vAlign w:val="center"/>
          </w:tcPr>
          <w:p w14:paraId="0E1C662B">
            <w:pPr>
              <w:spacing w:before="113" w:line="220" w:lineRule="auto"/>
              <w:jc w:val="center"/>
              <w:rPr>
                <w:rFonts w:hint="eastAsia" w:ascii="黑体" w:hAnsi="黑体" w:eastAsia="黑体" w:cs="黑体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="方正仿宋_GB2312" w:hAnsi="方正仿宋_GB2312" w:eastAsia="方正仿宋_GB2312" w:cs="方正仿宋_GB2312"/>
                <w:b/>
                <w:bCs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22"/>
                <w:szCs w:val="22"/>
                <w:lang w:bidi="ar"/>
              </w:rPr>
              <w:t>数字化转型安全治理专业人员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22"/>
                <w:szCs w:val="22"/>
                <w:lang w:eastAsia="zh-Hans" w:bidi="ar"/>
              </w:rPr>
              <w:t>”</w:t>
            </w:r>
            <w:r>
              <w:rPr>
                <w:rFonts w:ascii="方正仿宋_GB2312" w:hAnsi="方正仿宋_GB2312" w:eastAsia="方正仿宋_GB2312" w:cs="方正仿宋_GB2312"/>
                <w:b/>
                <w:bCs/>
                <w:kern w:val="0"/>
                <w:sz w:val="22"/>
                <w:szCs w:val="22"/>
                <w:lang w:bidi="ar"/>
              </w:rPr>
              <w:t>（Digital Transformation Security Governance Specialist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22"/>
                <w:szCs w:val="22"/>
                <w:lang w:bidi="ar"/>
              </w:rPr>
              <w:t>-DTSG）</w:t>
            </w:r>
          </w:p>
        </w:tc>
      </w:tr>
      <w:tr w14:paraId="52E52B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18" w:type="dxa"/>
            <w:vAlign w:val="center"/>
          </w:tcPr>
          <w:p w14:paraId="4F5C92E2">
            <w:pPr>
              <w:spacing w:before="113" w:line="219" w:lineRule="auto"/>
              <w:ind w:left="135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"/>
                <w:sz w:val="20"/>
                <w:szCs w:val="20"/>
              </w:rPr>
              <w:t>课程模块</w:t>
            </w:r>
          </w:p>
        </w:tc>
        <w:tc>
          <w:tcPr>
            <w:tcW w:w="2400" w:type="dxa"/>
            <w:vAlign w:val="center"/>
          </w:tcPr>
          <w:p w14:paraId="51C22317">
            <w:pPr>
              <w:spacing w:before="113" w:line="221" w:lineRule="auto"/>
              <w:ind w:left="149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"/>
                <w:sz w:val="20"/>
                <w:szCs w:val="20"/>
              </w:rPr>
              <w:t>培训内容</w:t>
            </w:r>
          </w:p>
        </w:tc>
        <w:tc>
          <w:tcPr>
            <w:tcW w:w="5598" w:type="dxa"/>
            <w:vAlign w:val="center"/>
          </w:tcPr>
          <w:p w14:paraId="7B1C2992">
            <w:pPr>
              <w:spacing w:before="113" w:line="220" w:lineRule="auto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专业能力</w:t>
            </w: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</w:rPr>
              <w:t>建设</w:t>
            </w:r>
          </w:p>
        </w:tc>
      </w:tr>
      <w:tr w14:paraId="51CE60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18" w:type="dxa"/>
            <w:vMerge w:val="restart"/>
            <w:vAlign w:val="center"/>
          </w:tcPr>
          <w:p w14:paraId="296F2976">
            <w:pPr>
              <w:pStyle w:val="6"/>
              <w:spacing w:before="68"/>
              <w:ind w:right="179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-5"/>
                <w:sz w:val="20"/>
                <w:szCs w:val="20"/>
                <w:lang w:eastAsia="zh-CN"/>
              </w:rPr>
              <w:t>1.</w:t>
            </w:r>
            <w:r>
              <w:rPr>
                <w:rFonts w:hint="eastAsia"/>
                <w:spacing w:val="-5"/>
                <w:sz w:val="20"/>
                <w:szCs w:val="20"/>
                <w:lang w:eastAsia="zh-CN"/>
              </w:rPr>
              <w:t>数字化战略及组织管理</w:t>
            </w:r>
          </w:p>
        </w:tc>
        <w:tc>
          <w:tcPr>
            <w:tcW w:w="2400" w:type="dxa"/>
            <w:vAlign w:val="center"/>
          </w:tcPr>
          <w:p w14:paraId="5025D6F8">
            <w:pPr>
              <w:pStyle w:val="6"/>
              <w:spacing w:before="68"/>
              <w:ind w:right="104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-7"/>
                <w:sz w:val="20"/>
                <w:szCs w:val="20"/>
              </w:rPr>
              <w:t>1.1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数字化战略规划</w:t>
            </w:r>
          </w:p>
        </w:tc>
        <w:tc>
          <w:tcPr>
            <w:tcW w:w="5598" w:type="dxa"/>
            <w:vAlign w:val="center"/>
          </w:tcPr>
          <w:p w14:paraId="192A0850">
            <w:pPr>
              <w:pStyle w:val="6"/>
              <w:spacing w:before="69"/>
              <w:ind w:right="205"/>
              <w:rPr>
                <w:rFonts w:hint="eastAsia"/>
                <w:spacing w:val="-2"/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1.1.1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具有数字化战略顶层设计能力，并能为决策层提供数字化战略咨询服务支持；</w:t>
            </w:r>
          </w:p>
          <w:p w14:paraId="64D405C9">
            <w:pPr>
              <w:pStyle w:val="6"/>
              <w:spacing w:before="69"/>
              <w:ind w:right="205"/>
              <w:rPr>
                <w:rFonts w:hint="eastAsia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1.1.2 有能力全面参与组织的战略向业务战略等各下级战略的分解，并提供各级战略向数字化战略的解码与匹配</w:t>
            </w:r>
          </w:p>
          <w:p w14:paraId="48A522EC">
            <w:pPr>
              <w:pStyle w:val="6"/>
              <w:spacing w:before="69"/>
              <w:ind w:right="205"/>
              <w:rPr>
                <w:rFonts w:hint="eastAsia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1.1.3 能主导数字化战略制定，并能全面解读数字化对组织的贡献与价值；</w:t>
            </w:r>
          </w:p>
          <w:p w14:paraId="5AD14C7E">
            <w:pPr>
              <w:pStyle w:val="6"/>
              <w:spacing w:before="69"/>
              <w:ind w:right="205"/>
              <w:rPr>
                <w:rFonts w:hint="eastAsia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1.14 具有数字化战略落地的卓越方法，能全面整合资源，根据数字化战略既定路径实现对组织的支持 。</w:t>
            </w:r>
          </w:p>
        </w:tc>
      </w:tr>
      <w:tr w14:paraId="7B2CDD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  <w:jc w:val="center"/>
        </w:trPr>
        <w:tc>
          <w:tcPr>
            <w:tcW w:w="2218" w:type="dxa"/>
            <w:vMerge w:val="continue"/>
            <w:vAlign w:val="center"/>
          </w:tcPr>
          <w:p w14:paraId="669B8DE8">
            <w:pPr>
              <w:jc w:val="center"/>
              <w:rPr>
                <w:rFonts w:ascii="Arial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6C5986B8">
            <w:pPr>
              <w:pStyle w:val="6"/>
              <w:spacing w:before="68"/>
              <w:ind w:right="104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-7"/>
                <w:sz w:val="20"/>
                <w:szCs w:val="20"/>
              </w:rPr>
              <w:t>1.2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组织设计与管理</w:t>
            </w:r>
          </w:p>
        </w:tc>
        <w:tc>
          <w:tcPr>
            <w:tcW w:w="5598" w:type="dxa"/>
            <w:vAlign w:val="center"/>
          </w:tcPr>
          <w:p w14:paraId="104FC91A">
            <w:pPr>
              <w:pStyle w:val="6"/>
              <w:spacing w:before="68"/>
              <w:ind w:right="76"/>
              <w:rPr>
                <w:rFonts w:hint="eastAsia"/>
                <w:spacing w:val="-6"/>
                <w:sz w:val="20"/>
                <w:szCs w:val="20"/>
                <w:lang w:eastAsia="zh-CN"/>
              </w:rPr>
            </w:pPr>
            <w:r>
              <w:rPr>
                <w:spacing w:val="-6"/>
                <w:sz w:val="20"/>
                <w:szCs w:val="20"/>
                <w:lang w:eastAsia="zh-CN"/>
              </w:rPr>
              <w:t xml:space="preserve">1.2.1 </w:t>
            </w:r>
            <w:r>
              <w:rPr>
                <w:rFonts w:hint="eastAsia"/>
                <w:spacing w:val="-6"/>
                <w:sz w:val="20"/>
                <w:szCs w:val="20"/>
                <w:lang w:eastAsia="zh-CN"/>
              </w:rPr>
              <w:t>通过对组织结构的系统研究， 具备能制订出理想的组织设计改革方案的能力</w:t>
            </w:r>
          </w:p>
          <w:p w14:paraId="494147A4">
            <w:pPr>
              <w:pStyle w:val="6"/>
              <w:spacing w:before="68"/>
              <w:ind w:right="76"/>
              <w:rPr>
                <w:rFonts w:hint="eastAsia"/>
                <w:spacing w:val="-6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6"/>
                <w:sz w:val="20"/>
                <w:szCs w:val="20"/>
                <w:lang w:eastAsia="zh-CN"/>
              </w:rPr>
              <w:t>1.2.2 结合制订的组织设计改革方案，结合组织数字化各个阶段或不同时期的工作重点，具备有步骤 、有计划地实现方案和督导的能力。</w:t>
            </w:r>
          </w:p>
        </w:tc>
      </w:tr>
      <w:tr w14:paraId="22B67D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  <w:jc w:val="center"/>
        </w:trPr>
        <w:tc>
          <w:tcPr>
            <w:tcW w:w="2218" w:type="dxa"/>
            <w:vMerge w:val="continue"/>
            <w:vAlign w:val="center"/>
          </w:tcPr>
          <w:p w14:paraId="2AF3C75C">
            <w:pPr>
              <w:jc w:val="center"/>
              <w:rPr>
                <w:rFonts w:ascii="Arial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6046C135">
            <w:pPr>
              <w:pStyle w:val="6"/>
              <w:spacing w:before="68"/>
              <w:ind w:right="104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-7"/>
                <w:sz w:val="20"/>
                <w:szCs w:val="20"/>
              </w:rPr>
              <w:t>1.3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架构涉及与管理</w:t>
            </w:r>
          </w:p>
        </w:tc>
        <w:tc>
          <w:tcPr>
            <w:tcW w:w="5598" w:type="dxa"/>
            <w:vAlign w:val="center"/>
          </w:tcPr>
          <w:p w14:paraId="3ED4C236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1.3.1 参与制定并形成企业架构的能力</w:t>
            </w:r>
          </w:p>
          <w:p w14:paraId="6199A762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1.3.2 参与制定并形成业务架构的能力参与制定并形成业务架构的能力</w:t>
            </w:r>
          </w:p>
          <w:p w14:paraId="7EC635E0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1.3.3 参与制定并形成技术架构的能力参与制定并形成技术架构的能力</w:t>
            </w:r>
          </w:p>
          <w:p w14:paraId="6F06FF66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1.3.4 培训讲解能力， 能够进行 企业架构与业务架构方面的培训和宣贯 。</w:t>
            </w:r>
          </w:p>
        </w:tc>
      </w:tr>
      <w:tr w14:paraId="0DA3D7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  <w:jc w:val="center"/>
        </w:trPr>
        <w:tc>
          <w:tcPr>
            <w:tcW w:w="2218" w:type="dxa"/>
            <w:vMerge w:val="continue"/>
            <w:vAlign w:val="center"/>
          </w:tcPr>
          <w:p w14:paraId="5BFFD6AA">
            <w:pPr>
              <w:jc w:val="center"/>
              <w:rPr>
                <w:rFonts w:ascii="Arial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6DB9B342">
            <w:pPr>
              <w:pStyle w:val="6"/>
              <w:spacing w:before="68"/>
              <w:ind w:right="104"/>
              <w:jc w:val="center"/>
              <w:rPr>
                <w:rFonts w:hint="eastAsia"/>
                <w:spacing w:val="-7"/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1.4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流程管理与优化</w:t>
            </w:r>
          </w:p>
        </w:tc>
        <w:tc>
          <w:tcPr>
            <w:tcW w:w="5598" w:type="dxa"/>
            <w:vAlign w:val="center"/>
          </w:tcPr>
          <w:p w14:paraId="7082B7A3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 xml:space="preserve">1.4.1 </w:t>
            </w:r>
            <w:r>
              <w:rPr>
                <w:sz w:val="20"/>
                <w:szCs w:val="20"/>
                <w:lang w:eastAsia="zh-CN"/>
              </w:rPr>
              <w:t>备基于财务管理、业务管理、风险合规相关制度规范分析发现流程问题的能力；</w:t>
            </w:r>
          </w:p>
          <w:p w14:paraId="006A7842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 xml:space="preserve">1.4.2 </w:t>
            </w:r>
            <w:r>
              <w:rPr>
                <w:sz w:val="20"/>
                <w:szCs w:val="20"/>
                <w:lang w:eastAsia="zh-CN"/>
              </w:rPr>
              <w:t>基于标准流程结合基组织整体数字化进程，对相关流程进行关、并、转、停的梳理和统筹，使得流程精简和迭代演进；</w:t>
            </w:r>
          </w:p>
          <w:p w14:paraId="4A09517D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 xml:space="preserve">1.4.3 </w:t>
            </w:r>
            <w:r>
              <w:rPr>
                <w:sz w:val="20"/>
                <w:szCs w:val="20"/>
                <w:lang w:eastAsia="zh-CN"/>
              </w:rPr>
              <w:t>掌握新技术、新业务场景，具有发现和解决新技术、新业务场景下流程匹配和再造的能力，推进新技术的应用和新业务场景的落地，助力业务创新。</w:t>
            </w:r>
          </w:p>
        </w:tc>
      </w:tr>
      <w:tr w14:paraId="4E420B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  <w:jc w:val="center"/>
        </w:trPr>
        <w:tc>
          <w:tcPr>
            <w:tcW w:w="2218" w:type="dxa"/>
            <w:vMerge w:val="continue"/>
            <w:vAlign w:val="center"/>
          </w:tcPr>
          <w:p w14:paraId="252F686A">
            <w:pPr>
              <w:jc w:val="center"/>
              <w:rPr>
                <w:rFonts w:ascii="Arial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1876D0CA">
            <w:pPr>
              <w:pStyle w:val="6"/>
              <w:spacing w:before="68"/>
              <w:ind w:right="104"/>
              <w:jc w:val="center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1.5 数字变革与创新</w:t>
            </w:r>
          </w:p>
        </w:tc>
        <w:tc>
          <w:tcPr>
            <w:tcW w:w="5598" w:type="dxa"/>
            <w:vAlign w:val="center"/>
          </w:tcPr>
          <w:p w14:paraId="70091273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1.5.1 基于数字化战略，参与制定和执行变革管理体系</w:t>
            </w:r>
          </w:p>
          <w:p w14:paraId="3EE0188E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1.5.2 参与制订变革管理的规章制度落实体系，并参与执行</w:t>
            </w:r>
          </w:p>
          <w:p w14:paraId="76A2FC7B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1.5.3 参与制订变革管理的沟通策略体系，组织协调，加速创新的产</w:t>
            </w:r>
          </w:p>
          <w:p w14:paraId="288E71CB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1.5.4 参与制订变革管理的协同体系， 用制度和流程推动协作，打造创新生态</w:t>
            </w:r>
          </w:p>
        </w:tc>
      </w:tr>
      <w:tr w14:paraId="71A350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  <w:jc w:val="center"/>
        </w:trPr>
        <w:tc>
          <w:tcPr>
            <w:tcW w:w="2218" w:type="dxa"/>
            <w:vMerge w:val="restart"/>
            <w:vAlign w:val="center"/>
          </w:tcPr>
          <w:p w14:paraId="65EA7A47">
            <w:pPr>
              <w:jc w:val="center"/>
              <w:rPr>
                <w:rFonts w:ascii="Arial" w:eastAsia="宋体"/>
                <w:sz w:val="20"/>
                <w:szCs w:val="22"/>
              </w:rPr>
            </w:pPr>
            <w:r>
              <w:rPr>
                <w:rFonts w:hint="eastAsia" w:eastAsia="宋体"/>
                <w:sz w:val="20"/>
                <w:szCs w:val="22"/>
              </w:rPr>
              <w:t>2.数字生态系统的构建与管理</w:t>
            </w:r>
          </w:p>
        </w:tc>
        <w:tc>
          <w:tcPr>
            <w:tcW w:w="2400" w:type="dxa"/>
            <w:vAlign w:val="center"/>
          </w:tcPr>
          <w:p w14:paraId="177EF717">
            <w:pPr>
              <w:pStyle w:val="6"/>
              <w:spacing w:before="68"/>
              <w:ind w:right="104"/>
              <w:jc w:val="left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2.1 数字生态系统的基础概念、原理和方法</w:t>
            </w:r>
          </w:p>
        </w:tc>
        <w:tc>
          <w:tcPr>
            <w:tcW w:w="5598" w:type="dxa"/>
            <w:vAlign w:val="center"/>
          </w:tcPr>
          <w:p w14:paraId="63D88856">
            <w:pPr>
              <w:pStyle w:val="6"/>
              <w:spacing w:before="68"/>
              <w:rPr>
                <w:rFonts w:hint="eastAsia" w:ascii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 xml:space="preserve">2.1.1 </w:t>
            </w:r>
            <w:r>
              <w:rPr>
                <w:sz w:val="20"/>
                <w:szCs w:val="20"/>
                <w:lang w:eastAsia="zh-CN"/>
              </w:rPr>
              <w:t>具备扎实的计算机科学、网络技术、数据库管理等方面的技术基础</w:t>
            </w:r>
            <w:r>
              <w:rPr>
                <w:rFonts w:hint="eastAsia"/>
                <w:sz w:val="20"/>
                <w:szCs w:val="20"/>
                <w:lang w:eastAsia="zh-CN"/>
              </w:rPr>
              <w:t>。</w:t>
            </w:r>
          </w:p>
        </w:tc>
      </w:tr>
      <w:tr w14:paraId="0BC89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  <w:jc w:val="center"/>
        </w:trPr>
        <w:tc>
          <w:tcPr>
            <w:tcW w:w="2218" w:type="dxa"/>
            <w:vMerge w:val="continue"/>
            <w:vAlign w:val="center"/>
          </w:tcPr>
          <w:p w14:paraId="03B0EAFB">
            <w:pPr>
              <w:jc w:val="center"/>
              <w:rPr>
                <w:rFonts w:eastAsia="宋体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56A79914">
            <w:pPr>
              <w:pStyle w:val="6"/>
              <w:spacing w:before="68"/>
              <w:ind w:right="104"/>
              <w:jc w:val="left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2.2 数字生态系统的规划、设计</w:t>
            </w:r>
          </w:p>
        </w:tc>
        <w:tc>
          <w:tcPr>
            <w:tcW w:w="5598" w:type="dxa"/>
            <w:vAlign w:val="center"/>
          </w:tcPr>
          <w:p w14:paraId="41507A41">
            <w:pPr>
              <w:pStyle w:val="6"/>
              <w:spacing w:before="68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 xml:space="preserve">2.1.2 </w:t>
            </w:r>
            <w:r>
              <w:rPr>
                <w:sz w:val="20"/>
                <w:szCs w:val="20"/>
                <w:lang w:eastAsia="zh-CN"/>
              </w:rPr>
              <w:t>掌握数字生态系统的规划、设计、开发和管理技能</w:t>
            </w:r>
            <w:r>
              <w:rPr>
                <w:rFonts w:hint="eastAsia"/>
                <w:sz w:val="20"/>
                <w:szCs w:val="20"/>
                <w:lang w:eastAsia="zh-CN"/>
              </w:rPr>
              <w:t>；能够进行系统集成和协同工作；</w:t>
            </w:r>
            <w:r>
              <w:rPr>
                <w:sz w:val="20"/>
                <w:szCs w:val="20"/>
                <w:lang w:eastAsia="zh-CN"/>
              </w:rPr>
              <w:t>熟悉数字生态系统的相关标准和规范；</w:t>
            </w:r>
          </w:p>
        </w:tc>
      </w:tr>
      <w:tr w14:paraId="42BC92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  <w:jc w:val="center"/>
        </w:trPr>
        <w:tc>
          <w:tcPr>
            <w:tcW w:w="2218" w:type="dxa"/>
            <w:vMerge w:val="restart"/>
            <w:vAlign w:val="center"/>
          </w:tcPr>
          <w:p w14:paraId="79E71E96">
            <w:pPr>
              <w:jc w:val="center"/>
              <w:rPr>
                <w:rFonts w:eastAsia="宋体"/>
                <w:sz w:val="20"/>
                <w:szCs w:val="22"/>
              </w:rPr>
            </w:pPr>
            <w:r>
              <w:rPr>
                <w:rFonts w:hint="eastAsia" w:eastAsia="宋体"/>
                <w:sz w:val="20"/>
                <w:szCs w:val="22"/>
              </w:rPr>
              <w:t>3.数据资产入表及数据安全合规</w:t>
            </w:r>
          </w:p>
        </w:tc>
        <w:tc>
          <w:tcPr>
            <w:tcW w:w="2400" w:type="dxa"/>
            <w:vAlign w:val="center"/>
          </w:tcPr>
          <w:p w14:paraId="655C7B7A">
            <w:pPr>
              <w:pStyle w:val="6"/>
              <w:spacing w:before="68"/>
              <w:ind w:left="81" w:right="104" w:firstLine="122"/>
              <w:jc w:val="left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3.1 数据安全合规</w:t>
            </w:r>
          </w:p>
        </w:tc>
        <w:tc>
          <w:tcPr>
            <w:tcW w:w="5598" w:type="dxa"/>
            <w:vAlign w:val="center"/>
          </w:tcPr>
          <w:p w14:paraId="5EB01B95">
            <w:pPr>
              <w:pStyle w:val="6"/>
              <w:spacing w:before="60"/>
              <w:ind w:right="89"/>
              <w:rPr>
                <w:rFonts w:hint="eastAsia" w:ascii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3.1.1 对国内与国际对国内与国际有关网络安全、数据安全、个人信息保护、隐私保护等方面法律法规进行适用性解读，提出相应合规要求并跟踪落实，确保合规</w:t>
            </w:r>
          </w:p>
        </w:tc>
      </w:tr>
      <w:tr w14:paraId="0EAD87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  <w:jc w:val="center"/>
        </w:trPr>
        <w:tc>
          <w:tcPr>
            <w:tcW w:w="2218" w:type="dxa"/>
            <w:vMerge w:val="continue"/>
            <w:vAlign w:val="center"/>
          </w:tcPr>
          <w:p w14:paraId="5CAE0CFC">
            <w:pPr>
              <w:jc w:val="center"/>
              <w:rPr>
                <w:rFonts w:eastAsia="宋体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135FB0FC">
            <w:pPr>
              <w:pStyle w:val="6"/>
              <w:spacing w:before="68"/>
              <w:ind w:right="104" w:firstLine="186" w:firstLineChars="100"/>
              <w:jc w:val="left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3.2 数据安全体系搭建</w:t>
            </w:r>
          </w:p>
        </w:tc>
        <w:tc>
          <w:tcPr>
            <w:tcW w:w="5598" w:type="dxa"/>
            <w:vAlign w:val="center"/>
          </w:tcPr>
          <w:p w14:paraId="4413FBF3">
            <w:pPr>
              <w:pStyle w:val="6"/>
              <w:spacing w:before="60"/>
              <w:ind w:right="89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3.2.1 具备数据安全体系搭建能力，从15个细分维度结合企业自身业务场景进行体系建设。</w:t>
            </w:r>
          </w:p>
        </w:tc>
      </w:tr>
      <w:tr w14:paraId="0B99D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2218" w:type="dxa"/>
            <w:vMerge w:val="continue"/>
            <w:vAlign w:val="center"/>
          </w:tcPr>
          <w:p w14:paraId="1C6CCB06">
            <w:pPr>
              <w:jc w:val="center"/>
              <w:rPr>
                <w:rFonts w:eastAsia="宋体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723932B1">
            <w:pPr>
              <w:pStyle w:val="6"/>
              <w:spacing w:before="68"/>
              <w:ind w:left="81" w:right="104" w:firstLine="122"/>
              <w:jc w:val="left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3.3 数据资产管理应用</w:t>
            </w:r>
          </w:p>
        </w:tc>
        <w:tc>
          <w:tcPr>
            <w:tcW w:w="5598" w:type="dxa"/>
            <w:vAlign w:val="center"/>
          </w:tcPr>
          <w:p w14:paraId="4F26808D">
            <w:pPr>
              <w:pStyle w:val="6"/>
              <w:spacing w:before="60"/>
              <w:ind w:right="89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3.3.1 具备数据资产运营管理能力，保障数据资产安全合规管理以及信任体系有效运转</w:t>
            </w:r>
          </w:p>
        </w:tc>
      </w:tr>
      <w:tr w14:paraId="574560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  <w:jc w:val="center"/>
        </w:trPr>
        <w:tc>
          <w:tcPr>
            <w:tcW w:w="2218" w:type="dxa"/>
            <w:vMerge w:val="continue"/>
            <w:vAlign w:val="center"/>
          </w:tcPr>
          <w:p w14:paraId="19E49773">
            <w:pPr>
              <w:jc w:val="center"/>
              <w:rPr>
                <w:rFonts w:eastAsia="宋体"/>
                <w:sz w:val="20"/>
                <w:szCs w:val="22"/>
              </w:rPr>
            </w:pPr>
          </w:p>
        </w:tc>
        <w:tc>
          <w:tcPr>
            <w:tcW w:w="2400" w:type="dxa"/>
            <w:vAlign w:val="center"/>
          </w:tcPr>
          <w:p w14:paraId="34E64F8F">
            <w:pPr>
              <w:pStyle w:val="6"/>
              <w:spacing w:before="68"/>
              <w:ind w:left="81" w:right="104" w:firstLine="122"/>
              <w:jc w:val="left"/>
              <w:rPr>
                <w:rFonts w:hint="eastAsia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7"/>
                <w:sz w:val="20"/>
                <w:szCs w:val="20"/>
                <w:lang w:eastAsia="zh-CN"/>
              </w:rPr>
              <w:t>3.4数据资产入表流程</w:t>
            </w:r>
          </w:p>
        </w:tc>
        <w:tc>
          <w:tcPr>
            <w:tcW w:w="5598" w:type="dxa"/>
            <w:vAlign w:val="center"/>
          </w:tcPr>
          <w:p w14:paraId="3754ACC2">
            <w:pPr>
              <w:pStyle w:val="6"/>
              <w:spacing w:before="60"/>
              <w:ind w:right="89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3</w:t>
            </w:r>
            <w:r>
              <w:rPr>
                <w:sz w:val="20"/>
                <w:szCs w:val="20"/>
                <w:lang w:eastAsia="zh-CN"/>
              </w:rPr>
              <w:t>.4.1</w:t>
            </w:r>
            <w:r>
              <w:rPr>
                <w:rFonts w:hint="eastAsia"/>
                <w:sz w:val="20"/>
                <w:szCs w:val="20"/>
                <w:lang w:eastAsia="zh-CN"/>
              </w:rPr>
              <w:t>数据资产入表四大工作内容解析；数据质量、数据资产估值评价方法及数据资产入表工作开展路径及方法论。</w:t>
            </w:r>
          </w:p>
        </w:tc>
      </w:tr>
    </w:tbl>
    <w:p w14:paraId="632CFD0F">
      <w:pPr>
        <w:pStyle w:val="4"/>
        <w:widowControl/>
        <w:spacing w:line="360" w:lineRule="auto"/>
        <w:ind w:firstLine="643" w:firstLineChars="200"/>
        <w:jc w:val="center"/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lang w:eastAsia="zh-Hans" w:bidi="ar"/>
        </w:rPr>
      </w:pPr>
    </w:p>
    <w:p w14:paraId="0EDF011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lang w:bidi="ar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lang w:bidi="ar"/>
        </w:rPr>
        <w:t>（注：以上课程大纲将会根据最新</w:t>
      </w: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lang w:eastAsia="zh-Hans" w:bidi="ar"/>
        </w:rPr>
        <w:t>监管合规要求</w:t>
      </w: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lang w:bidi="ar"/>
        </w:rPr>
        <w:t>动态进行更新和调整）</w:t>
      </w:r>
    </w:p>
    <w:p w14:paraId="53C235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00000"/>
    <w:rsid w:val="656F2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2024-07-18T02:30:19Z</dcterms:created>
  <dc:creator>华硕</dc:creator>
  <cp:lastModifiedBy>Bonning</cp:lastModifiedBy>
  <dcterms:modified xsi:type="dcterms:W3CDTF">2024-07-18T02:30:50Z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6522664FCF0B4E66AA0EFE3121EB6AA2_12</vt:lpwstr>
  </property>
</Properties>
</file>